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61F5" w14:textId="77777777" w:rsidR="007608B8" w:rsidRDefault="007608B8" w:rsidP="007608B8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31BAFD00" w14:textId="77777777" w:rsidR="007608B8" w:rsidRDefault="007608B8" w:rsidP="007608B8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0258955A" w14:textId="3C4EAFCC" w:rsidR="007608B8" w:rsidRPr="00537F95" w:rsidRDefault="007608B8" w:rsidP="007608B8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1B6646AF" w14:textId="77777777" w:rsidR="007608B8" w:rsidRDefault="007608B8" w:rsidP="007608B8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Publication in the Sunday</w:t>
      </w:r>
      <w:proofErr w:type="gramStart"/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pacing w:val="-5"/>
          <w:sz w:val="24"/>
          <w:szCs w:val="24"/>
        </w:rPr>
        <w:tab/>
        <w:t>July</w:t>
      </w:r>
      <w:proofErr w:type="gramEnd"/>
      <w:r>
        <w:rPr>
          <w:rFonts w:ascii="Calibri" w:eastAsia="Times New Roman" w:hAnsi="Calibri" w:cs="Calibri"/>
          <w:spacing w:val="-5"/>
          <w:sz w:val="24"/>
          <w:szCs w:val="24"/>
        </w:rPr>
        <w:t xml:space="preserve"> 6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5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3DB268C4" w14:textId="77777777" w:rsidR="007608B8" w:rsidRDefault="007608B8" w:rsidP="007608B8">
      <w:pPr>
        <w:pStyle w:val="Header"/>
        <w:rPr>
          <w:rFonts w:ascii="Candara Light" w:hAnsi="Candara Light"/>
        </w:rPr>
      </w:pPr>
    </w:p>
    <w:p w14:paraId="0069F2BC" w14:textId="77777777" w:rsidR="007608B8" w:rsidRDefault="007608B8" w:rsidP="007608B8">
      <w:pPr>
        <w:pStyle w:val="Header"/>
        <w:rPr>
          <w:rFonts w:ascii="Candara Light" w:hAnsi="Candara Light"/>
        </w:rPr>
      </w:pPr>
    </w:p>
    <w:p w14:paraId="7B91CD5E" w14:textId="77777777" w:rsidR="007608B8" w:rsidRPr="00931F30" w:rsidRDefault="007608B8" w:rsidP="007608B8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23807C66" w14:textId="77777777" w:rsidR="007608B8" w:rsidRPr="00931F30" w:rsidRDefault="007608B8" w:rsidP="007608B8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1331107A" w14:textId="77777777" w:rsidR="007608B8" w:rsidRPr="00081C97" w:rsidRDefault="007608B8" w:rsidP="007608B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51CD5E" w14:textId="77777777" w:rsidR="007608B8" w:rsidRPr="00081C97" w:rsidRDefault="007608B8" w:rsidP="007608B8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>
        <w:rPr>
          <w:rFonts w:ascii="Calibri" w:hAnsi="Calibri" w:cs="Calibri"/>
          <w:color w:val="auto"/>
          <w:spacing w:val="-5"/>
          <w:sz w:val="24"/>
          <w:szCs w:val="24"/>
        </w:rPr>
        <w:t xml:space="preserve"> July 15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</w:t>
      </w:r>
      <w:r>
        <w:rPr>
          <w:rFonts w:ascii="Calibri" w:hAnsi="Calibri" w:cs="Calibri"/>
          <w:color w:val="auto"/>
          <w:spacing w:val="-5"/>
          <w:sz w:val="24"/>
          <w:szCs w:val="24"/>
        </w:rPr>
        <w:t>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 xml:space="preserve">, at </w:t>
      </w:r>
      <w:r>
        <w:rPr>
          <w:rFonts w:ascii="Calibri" w:hAnsi="Calibri" w:cs="Calibri"/>
          <w:color w:val="auto"/>
          <w:spacing w:val="-5"/>
          <w:sz w:val="24"/>
          <w:szCs w:val="24"/>
        </w:rPr>
        <w:t>6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49408011" w14:textId="77777777" w:rsidR="007608B8" w:rsidRPr="003106E3" w:rsidRDefault="007608B8" w:rsidP="007608B8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3106E3">
        <w:rPr>
          <w:rFonts w:ascii="Calibri" w:eastAsiaTheme="majorEastAsia" w:hAnsi="Calibri" w:cs="Calibri"/>
          <w:spacing w:val="-5"/>
          <w:sz w:val="24"/>
          <w:szCs w:val="24"/>
        </w:rPr>
        <w:t>Applicant: Arkadiy Kravchenya</w:t>
      </w:r>
    </w:p>
    <w:p w14:paraId="4A7DDBC0" w14:textId="77777777" w:rsidR="007608B8" w:rsidRPr="003106E3" w:rsidRDefault="007608B8" w:rsidP="007608B8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3106E3">
        <w:rPr>
          <w:rFonts w:ascii="Calibri" w:eastAsiaTheme="majorEastAsia" w:hAnsi="Calibri" w:cs="Calibri"/>
          <w:spacing w:val="-5"/>
          <w:sz w:val="24"/>
          <w:szCs w:val="24"/>
        </w:rPr>
        <w:t>Property Owner: Arkadiy Kravchenya</w:t>
      </w:r>
    </w:p>
    <w:p w14:paraId="59642AD7" w14:textId="77777777" w:rsidR="007608B8" w:rsidRPr="003106E3" w:rsidRDefault="007608B8" w:rsidP="007608B8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3106E3">
        <w:rPr>
          <w:rFonts w:ascii="Calibri" w:eastAsiaTheme="majorEastAsia" w:hAnsi="Calibri" w:cs="Calibri"/>
          <w:spacing w:val="-5"/>
          <w:sz w:val="24"/>
          <w:szCs w:val="24"/>
        </w:rPr>
        <w:t>Address: 3754 Sweden Walker Rd</w:t>
      </w:r>
    </w:p>
    <w:p w14:paraId="72CC6EFE" w14:textId="77777777" w:rsidR="007608B8" w:rsidRPr="003106E3" w:rsidRDefault="007608B8" w:rsidP="007608B8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3106E3">
        <w:rPr>
          <w:rFonts w:ascii="Calibri" w:eastAsiaTheme="majorEastAsia" w:hAnsi="Calibri" w:cs="Calibri"/>
          <w:spacing w:val="-5"/>
          <w:sz w:val="24"/>
          <w:szCs w:val="24"/>
        </w:rPr>
        <w:t xml:space="preserve">Acres: 6.81 </w:t>
      </w:r>
    </w:p>
    <w:p w14:paraId="27CAEDE7" w14:textId="77777777" w:rsidR="007608B8" w:rsidRPr="003106E3" w:rsidRDefault="007608B8" w:rsidP="007608B8">
      <w:pPr>
        <w:spacing w:after="0" w:line="240" w:lineRule="auto"/>
        <w:rPr>
          <w:rFonts w:ascii="Calibri" w:eastAsiaTheme="majorEastAsia" w:hAnsi="Calibri" w:cs="Calibri"/>
          <w:spacing w:val="-5"/>
          <w:sz w:val="24"/>
          <w:szCs w:val="24"/>
        </w:rPr>
      </w:pPr>
      <w:r w:rsidRPr="003106E3">
        <w:rPr>
          <w:rFonts w:ascii="Calibri" w:eastAsiaTheme="majorEastAsia" w:hAnsi="Calibri" w:cs="Calibri"/>
          <w:spacing w:val="-5"/>
          <w:sz w:val="24"/>
          <w:szCs w:val="24"/>
        </w:rPr>
        <w:t xml:space="preserve">Applicant requesting approval of a single-family home with an onsite leach field </w:t>
      </w:r>
    </w:p>
    <w:p w14:paraId="2F15727D" w14:textId="77777777" w:rsidR="007608B8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4D5E865" w14:textId="77777777" w:rsidR="007608B8" w:rsidRPr="009A5923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7D41535D" w14:textId="77777777" w:rsidR="007608B8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280D79" w14:textId="77777777" w:rsidR="007608B8" w:rsidRPr="009A5923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7199AA01" w14:textId="77777777" w:rsidR="007608B8" w:rsidRPr="009A5923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2F1BDA68" w14:textId="77777777" w:rsidR="007608B8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5A968CF0" w14:textId="77777777" w:rsidR="007608B8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 6/23/2025</w:t>
      </w:r>
    </w:p>
    <w:p w14:paraId="5CA9C620" w14:textId="77777777" w:rsidR="007608B8" w:rsidRPr="009A5923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822ABE3" w14:textId="77777777" w:rsidR="007608B8" w:rsidRPr="009A5923" w:rsidRDefault="007608B8" w:rsidP="007608B8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Building </w:t>
      </w:r>
      <w:r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epartment</w:t>
      </w:r>
    </w:p>
    <w:p w14:paraId="652923BD" w14:textId="77777777" w:rsidR="007608B8" w:rsidRDefault="007608B8" w:rsidP="007608B8"/>
    <w:p w14:paraId="4F0750E0" w14:textId="77777777" w:rsidR="00EF5A2D" w:rsidRPr="007608B8" w:rsidRDefault="00EF5A2D" w:rsidP="007608B8"/>
    <w:sectPr w:rsidR="00EF5A2D" w:rsidRPr="007608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7CCC" w14:textId="77777777" w:rsidR="00C111AB" w:rsidRDefault="00C111AB" w:rsidP="00EF5A2D">
      <w:pPr>
        <w:spacing w:after="0" w:line="240" w:lineRule="auto"/>
      </w:pPr>
      <w:r>
        <w:separator/>
      </w:r>
    </w:p>
  </w:endnote>
  <w:endnote w:type="continuationSeparator" w:id="0">
    <w:p w14:paraId="4EC300F2" w14:textId="77777777" w:rsidR="00C111AB" w:rsidRDefault="00C111AB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5BB5" w14:textId="77777777" w:rsidR="00C111AB" w:rsidRDefault="00C111AB" w:rsidP="00EF5A2D">
      <w:pPr>
        <w:spacing w:after="0" w:line="240" w:lineRule="auto"/>
      </w:pPr>
      <w:r>
        <w:separator/>
      </w:r>
    </w:p>
  </w:footnote>
  <w:footnote w:type="continuationSeparator" w:id="0">
    <w:p w14:paraId="1A401546" w14:textId="77777777" w:rsidR="00C111AB" w:rsidRDefault="00C111AB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601397"/>
    <w:rsid w:val="007608B8"/>
    <w:rsid w:val="008F1C1E"/>
    <w:rsid w:val="00C111AB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</cp:revision>
  <dcterms:created xsi:type="dcterms:W3CDTF">2024-08-15T19:58:00Z</dcterms:created>
  <dcterms:modified xsi:type="dcterms:W3CDTF">2025-06-23T13:31:00Z</dcterms:modified>
</cp:coreProperties>
</file>